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crastination and Self-Awareness table"/>
        <w:tblDescription w:val="This is a table dived into 4 columns.  The numbered questions are at the top of each column.  The remainder of the column spaces are blank for an individual to write down their answers."/>
      </w:tblPr>
      <w:tblGrid>
        <w:gridCol w:w="3294"/>
        <w:gridCol w:w="3366"/>
        <w:gridCol w:w="3420"/>
        <w:gridCol w:w="3096"/>
      </w:tblGrid>
      <w:tr w:rsidR="002B5715" w:rsidRPr="00413768" w:rsidTr="00413768">
        <w:tc>
          <w:tcPr>
            <w:tcW w:w="3294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  <w:rPr>
                <w:b/>
              </w:rPr>
            </w:pPr>
            <w:r w:rsidRPr="00413768">
              <w:rPr>
                <w:b/>
              </w:rPr>
              <w:t>1. How do you think or “talk yourself out of doing what you planned or what you believe is in your best interests?</w:t>
            </w:r>
          </w:p>
        </w:tc>
        <w:tc>
          <w:tcPr>
            <w:tcW w:w="3366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  <w:rPr>
                <w:b/>
              </w:rPr>
            </w:pPr>
            <w:r w:rsidRPr="00413768">
              <w:rPr>
                <w:b/>
              </w:rPr>
              <w:t>2. What behavioral patterns or habits are maladaptive and lead to avoidance/distraction/</w:t>
            </w:r>
            <w:r w:rsidRPr="00413768">
              <w:rPr>
                <w:b/>
              </w:rPr>
              <w:br/>
              <w:t>procrastination?</w:t>
            </w:r>
          </w:p>
        </w:tc>
        <w:tc>
          <w:tcPr>
            <w:tcW w:w="3420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  <w:rPr>
                <w:b/>
              </w:rPr>
            </w:pPr>
            <w:r w:rsidRPr="00413768">
              <w:rPr>
                <w:b/>
              </w:rPr>
              <w:t xml:space="preserve">3. What feelings, thoughts or mental states trigger </w:t>
            </w:r>
            <w:proofErr w:type="spellStart"/>
            <w:r w:rsidRPr="00413768">
              <w:rPr>
                <w:b/>
              </w:rPr>
              <w:t>mindgames</w:t>
            </w:r>
            <w:proofErr w:type="spellEnd"/>
            <w:r w:rsidRPr="00413768">
              <w:rPr>
                <w:b/>
              </w:rPr>
              <w:t>, avoidance, or delay?</w:t>
            </w:r>
          </w:p>
        </w:tc>
        <w:tc>
          <w:tcPr>
            <w:tcW w:w="3096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  <w:rPr>
                <w:b/>
              </w:rPr>
            </w:pPr>
            <w:r w:rsidRPr="00413768">
              <w:rPr>
                <w:b/>
              </w:rPr>
              <w:t>4. What are social and environmental obstacles to engaging in the activities you had intended?</w:t>
            </w:r>
          </w:p>
        </w:tc>
      </w:tr>
      <w:tr w:rsidR="002B5715" w:rsidRPr="00413768" w:rsidTr="00413768">
        <w:trPr>
          <w:trHeight w:val="7928"/>
        </w:trPr>
        <w:tc>
          <w:tcPr>
            <w:tcW w:w="3294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</w:pPr>
          </w:p>
        </w:tc>
        <w:tc>
          <w:tcPr>
            <w:tcW w:w="3366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</w:pPr>
          </w:p>
        </w:tc>
        <w:tc>
          <w:tcPr>
            <w:tcW w:w="3420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</w:pPr>
          </w:p>
        </w:tc>
        <w:tc>
          <w:tcPr>
            <w:tcW w:w="3096" w:type="dxa"/>
            <w:shd w:val="clear" w:color="auto" w:fill="auto"/>
          </w:tcPr>
          <w:p w:rsidR="002B5715" w:rsidRPr="00413768" w:rsidRDefault="002B5715" w:rsidP="00413768">
            <w:pPr>
              <w:framePr w:hSpace="180" w:wrap="notBeside" w:vAnchor="text" w:hAnchor="page" w:x="1193" w:y="10"/>
              <w:tabs>
                <w:tab w:val="left" w:pos="11520"/>
              </w:tabs>
            </w:pPr>
          </w:p>
        </w:tc>
      </w:tr>
    </w:tbl>
    <w:p w:rsidR="002B5715" w:rsidRPr="00A352FD" w:rsidRDefault="002B5715" w:rsidP="002B5715">
      <w:pPr>
        <w:tabs>
          <w:tab w:val="left" w:pos="11520"/>
        </w:tabs>
        <w:rPr>
          <w:sz w:val="16"/>
          <w:szCs w:val="16"/>
        </w:rPr>
      </w:pPr>
    </w:p>
    <w:p w:rsidR="008649A2" w:rsidRPr="002B5715" w:rsidRDefault="003B4E6E" w:rsidP="002B5715">
      <w:r>
        <w:rPr>
          <w:rFonts w:ascii="Verdana" w:eastAsia="Verdana" w:hAnsi="Verdana" w:cs="Verdana"/>
          <w:sz w:val="24"/>
          <w:szCs w:val="24"/>
        </w:rPr>
        <w:t xml:space="preserve">Cited and adapted from Haverford College, </w:t>
      </w:r>
      <w:hyperlink r:id="rId6" w:history="1">
        <w:r>
          <w:rPr>
            <w:rStyle w:val="Hyperlink"/>
            <w:rFonts w:ascii="Verdana" w:eastAsia="Verdana" w:hAnsi="Verdana" w:cs="Verdana"/>
            <w:sz w:val="24"/>
            <w:szCs w:val="24"/>
          </w:rPr>
          <w:t>link to Haverford College, Office of Academic Resources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F84CB9">
        <w:rPr>
          <w:sz w:val="18"/>
          <w:szCs w:val="18"/>
        </w:rPr>
        <w:t xml:space="preserve">Cited and adapted materials from: </w:t>
      </w:r>
      <w:r>
        <w:rPr>
          <w:sz w:val="18"/>
          <w:szCs w:val="18"/>
        </w:rPr>
        <w:t xml:space="preserve">N. </w:t>
      </w:r>
      <w:proofErr w:type="spellStart"/>
      <w:r>
        <w:rPr>
          <w:sz w:val="18"/>
          <w:szCs w:val="18"/>
        </w:rPr>
        <w:t>Voge</w:t>
      </w:r>
      <w:proofErr w:type="spellEnd"/>
      <w:r>
        <w:rPr>
          <w:sz w:val="18"/>
          <w:szCs w:val="18"/>
        </w:rPr>
        <w:t xml:space="preserve">  and The McGraw Center for Teaching &amp; Learning, Princeton University</w:t>
      </w:r>
      <w:r>
        <w:rPr>
          <w:sz w:val="18"/>
          <w:szCs w:val="18"/>
        </w:rPr>
        <w:br/>
      </w:r>
      <w:bookmarkStart w:id="0" w:name="_GoBack"/>
      <w:bookmarkEnd w:id="0"/>
    </w:p>
    <w:sectPr w:rsidR="008649A2" w:rsidRPr="002B5715" w:rsidSect="002B571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B4" w:rsidRDefault="00CA3BB4" w:rsidP="002B5715">
      <w:pPr>
        <w:spacing w:after="0"/>
      </w:pPr>
      <w:r>
        <w:separator/>
      </w:r>
    </w:p>
  </w:endnote>
  <w:endnote w:type="continuationSeparator" w:id="0">
    <w:p w:rsidR="00CA3BB4" w:rsidRDefault="00CA3BB4" w:rsidP="002B5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Condensed Bol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D1302CFB7A54870A09D294C3982220F"/>
      </w:placeholder>
      <w:temporary/>
      <w:showingPlcHdr/>
      <w15:appearance w15:val="hidden"/>
    </w:sdtPr>
    <w:sdtContent>
      <w:p w:rsidR="003B4E6E" w:rsidRDefault="003B4E6E">
        <w:pPr>
          <w:pStyle w:val="Footer"/>
        </w:pPr>
        <w:r>
          <w:t>[Type here]</w:t>
        </w:r>
      </w:p>
    </w:sdtContent>
  </w:sdt>
  <w:p w:rsidR="002B5715" w:rsidRPr="002B5715" w:rsidRDefault="002B5715" w:rsidP="002B5715">
    <w:pPr>
      <w:jc w:val="center"/>
      <w:rPr>
        <w:rFonts w:ascii="DIN Condensed Bold" w:hAnsi="DIN Condensed Bold"/>
        <w:b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B4" w:rsidRDefault="00CA3BB4" w:rsidP="002B5715">
      <w:pPr>
        <w:spacing w:after="0"/>
      </w:pPr>
      <w:r>
        <w:separator/>
      </w:r>
    </w:p>
  </w:footnote>
  <w:footnote w:type="continuationSeparator" w:id="0">
    <w:p w:rsidR="00CA3BB4" w:rsidRDefault="00CA3BB4" w:rsidP="002B57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2B5715"/>
    <w:rsid w:val="003B4E6E"/>
    <w:rsid w:val="00413768"/>
    <w:rsid w:val="00757B9A"/>
    <w:rsid w:val="008649A2"/>
    <w:rsid w:val="009E4038"/>
    <w:rsid w:val="00CA3BB4"/>
    <w:rsid w:val="00D553AA"/>
    <w:rsid w:val="00E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EC0F1CD4-44C0-41EA-8D70-B9AFA16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15"/>
    <w:pPr>
      <w:spacing w:after="120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15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B5715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7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B5715"/>
    <w:rPr>
      <w:rFonts w:eastAsia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B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verford.edu/O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1302CFB7A54870A09D294C3982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F838-CA63-4ACE-A799-CAE96C1AC720}"/>
      </w:docPartPr>
      <w:docPartBody>
        <w:p w:rsidR="00000000" w:rsidRDefault="0081697D" w:rsidP="0081697D">
          <w:pPr>
            <w:pStyle w:val="9D1302CFB7A54870A09D294C3982220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Condensed Bol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D"/>
    <w:rsid w:val="008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302CFB7A54870A09D294C3982220F">
    <w:name w:val="9D1302CFB7A54870A09D294C3982220F"/>
    <w:rsid w:val="0081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iitsadmin</dc:creator>
  <cp:keywords/>
  <dc:description/>
  <cp:lastModifiedBy>Windows User</cp:lastModifiedBy>
  <cp:revision>2</cp:revision>
  <cp:lastPrinted>2016-02-11T17:04:00Z</cp:lastPrinted>
  <dcterms:created xsi:type="dcterms:W3CDTF">2016-08-25T15:19:00Z</dcterms:created>
  <dcterms:modified xsi:type="dcterms:W3CDTF">2016-08-25T15:19:00Z</dcterms:modified>
</cp:coreProperties>
</file>